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16A08C" w14:textId="2E110312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2-D Base Level Engineering </w:t>
      </w:r>
    </w:p>
    <w:p w14:paraId="0B75E976" w14:textId="58957782" w:rsidR="008F06AE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Texas Water Development Board</w:t>
      </w:r>
    </w:p>
    <w:p w14:paraId="090D26C8" w14:textId="363B307D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</w:p>
    <w:p w14:paraId="17BFFDD6" w14:textId="15EF142A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Quality Control — Mapping</w:t>
      </w:r>
    </w:p>
    <w:p w14:paraId="0FE5497B" w14:textId="6A40AC54" w:rsidR="00F11486" w:rsidRPr="0072199E" w:rsidRDefault="00F11486" w:rsidP="00E50997">
      <w:pPr>
        <w:jc w:val="center"/>
        <w:rPr>
          <w:rFonts w:ascii="Arial" w:hAnsi="Arial" w:cs="Arial"/>
          <w:sz w:val="22"/>
          <w:szCs w:val="22"/>
        </w:rPr>
      </w:pPr>
    </w:p>
    <w:p w14:paraId="46C7D067" w14:textId="6B1C2A40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HUC 8 Reviewed:</w:t>
      </w:r>
      <w:r w:rsidRPr="0072199E">
        <w:rPr>
          <w:rFonts w:ascii="Arial" w:hAnsi="Arial" w:cs="Arial"/>
          <w:sz w:val="22"/>
          <w:szCs w:val="22"/>
        </w:rPr>
        <w:tab/>
      </w:r>
      <w:r w:rsidR="00AC2967">
        <w:rPr>
          <w:rFonts w:ascii="Arial" w:hAnsi="Arial" w:cs="Arial"/>
          <w:sz w:val="22"/>
          <w:szCs w:val="22"/>
        </w:rPr>
        <w:t>Aransas Bay</w:t>
      </w:r>
    </w:p>
    <w:p w14:paraId="4E1FF8A4" w14:textId="77532B04" w:rsidR="00F11486" w:rsidRPr="0072199E" w:rsidRDefault="00F11486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Submitted </w:t>
      </w:r>
      <w:proofErr w:type="gramStart"/>
      <w:r w:rsidRPr="0072199E">
        <w:rPr>
          <w:rFonts w:ascii="Arial" w:hAnsi="Arial" w:cs="Arial"/>
          <w:sz w:val="22"/>
          <w:szCs w:val="22"/>
        </w:rPr>
        <w:t>by:</w:t>
      </w:r>
      <w:proofErr w:type="gramEnd"/>
      <w:r w:rsidRPr="0072199E">
        <w:rPr>
          <w:rFonts w:ascii="Arial" w:hAnsi="Arial" w:cs="Arial"/>
          <w:sz w:val="22"/>
          <w:szCs w:val="22"/>
        </w:rPr>
        <w:t xml:space="preserve"> </w:t>
      </w:r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</w:r>
      <w:r w:rsidR="00AC2967">
        <w:rPr>
          <w:rFonts w:ascii="Arial" w:hAnsi="Arial" w:cs="Arial"/>
          <w:sz w:val="22"/>
          <w:szCs w:val="22"/>
        </w:rPr>
        <w:t>Aaron Raper</w:t>
      </w:r>
    </w:p>
    <w:p w14:paraId="75965D9C" w14:textId="130CBC86" w:rsidR="00F11486" w:rsidRPr="0072199E" w:rsidRDefault="00F11486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QC </w:t>
      </w:r>
      <w:proofErr w:type="gramStart"/>
      <w:r w:rsidRPr="0072199E">
        <w:rPr>
          <w:rFonts w:ascii="Arial" w:hAnsi="Arial" w:cs="Arial"/>
          <w:sz w:val="22"/>
          <w:szCs w:val="22"/>
        </w:rPr>
        <w:t>by:</w:t>
      </w:r>
      <w:proofErr w:type="gramEnd"/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  <w:t>Guillermo Simon</w:t>
      </w:r>
    </w:p>
    <w:p w14:paraId="72469434" w14:textId="1A9D5C1F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p w14:paraId="21E3C57D" w14:textId="77777777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p w14:paraId="674DF090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Comparison with effective mapping</w:t>
      </w:r>
    </w:p>
    <w:p w14:paraId="3412B7EE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Compare water surface elevation and mapping extents, if possible. Of note, mapping extents may prove difficult to verify because BLE models rain-on-grid and effective maps show flow concentration.</w:t>
      </w:r>
    </w:p>
    <w:p w14:paraId="4D26E35A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67ECCEE2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Mapping around HUC perimeter</w:t>
      </w:r>
    </w:p>
    <w:p w14:paraId="02C9901E" w14:textId="77777777" w:rsidR="003C5C1D" w:rsidRDefault="003C5C1D" w:rsidP="003C5C1D">
      <w:pPr>
        <w:ind w:left="720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Verify mapping near downstream boundary condition</w:t>
      </w:r>
    </w:p>
    <w:p w14:paraId="09AA847A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6DA8EAED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</w:t>
      </w:r>
      <w:r w:rsidRPr="00D83503">
        <w:rPr>
          <w:rFonts w:ascii="Arial" w:hAnsi="Arial" w:cs="Arial"/>
          <w:sz w:val="20"/>
        </w:rPr>
        <w:t>ie-in with neighboring basins</w:t>
      </w:r>
    </w:p>
    <w:p w14:paraId="0449762F" w14:textId="77777777" w:rsidR="003C5C1D" w:rsidRPr="00D83503" w:rsidRDefault="003C5C1D" w:rsidP="003C5C1D">
      <w:pPr>
        <w:pStyle w:val="ListParagrap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Verify mapping continuity around the HUC’s perimeter</w:t>
      </w:r>
    </w:p>
    <w:p w14:paraId="1147A997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0541C865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Stream connectivity</w:t>
      </w:r>
    </w:p>
    <w:p w14:paraId="47B1898E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Verify continuous mapping along conveying systems (creeks, channels, roads (?))</w:t>
      </w:r>
    </w:p>
    <w:p w14:paraId="00F6F5A4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1D3A3B05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Mapped depths</w:t>
      </w:r>
    </w:p>
    <w:p w14:paraId="5DF6E943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Depth use in mapping. Is minimum depth consistent with other HUCS?</w:t>
      </w:r>
    </w:p>
    <w:p w14:paraId="645F8864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40004CC7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Mapping consistent with frequency.</w:t>
      </w:r>
    </w:p>
    <w:p w14:paraId="668E5013" w14:textId="77777777" w:rsidR="003C5C1D" w:rsidRDefault="003C5C1D" w:rsidP="003C5C1D">
      <w:pPr>
        <w:pStyle w:val="ListParagrap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Verify that mapping extents and flood elevations increase with lower frequencies (e.g., is 500-yr mapping “larger” than 100-yr mapping?)</w:t>
      </w:r>
    </w:p>
    <w:p w14:paraId="7CA2C450" w14:textId="77777777" w:rsidR="003C5C1D" w:rsidRPr="00EA7EDE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0B5221FC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Miscellaneous comments</w:t>
      </w:r>
    </w:p>
    <w:p w14:paraId="68EE69D5" w14:textId="77777777" w:rsidR="003C5C1D" w:rsidRPr="0072199E" w:rsidRDefault="003C5C1D" w:rsidP="003C5C1D">
      <w:pPr>
        <w:jc w:val="left"/>
        <w:rPr>
          <w:rFonts w:ascii="Arial" w:hAnsi="Arial" w:cs="Arial"/>
          <w:sz w:val="22"/>
          <w:szCs w:val="22"/>
        </w:rPr>
      </w:pPr>
    </w:p>
    <w:p w14:paraId="581D1A81" w14:textId="77777777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tbl>
      <w:tblPr>
        <w:tblStyle w:val="TableGrid"/>
        <w:tblW w:w="9445" w:type="dxa"/>
        <w:tblLook w:val="04A0" w:firstRow="1" w:lastRow="0" w:firstColumn="1" w:lastColumn="0" w:noHBand="0" w:noVBand="1"/>
      </w:tblPr>
      <w:tblGrid>
        <w:gridCol w:w="2337"/>
        <w:gridCol w:w="2337"/>
        <w:gridCol w:w="4771"/>
      </w:tblGrid>
      <w:tr w:rsidR="000B6E34" w:rsidRPr="0072199E" w14:paraId="0B25D3A6" w14:textId="77777777" w:rsidTr="000B6E34">
        <w:tc>
          <w:tcPr>
            <w:tcW w:w="2337" w:type="dxa"/>
          </w:tcPr>
          <w:p w14:paraId="31B8AA76" w14:textId="4246D6A0" w:rsidR="000B6E34" w:rsidRPr="0072199E" w:rsidRDefault="000B6E34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QC Round</w:t>
            </w:r>
          </w:p>
        </w:tc>
        <w:tc>
          <w:tcPr>
            <w:tcW w:w="2337" w:type="dxa"/>
          </w:tcPr>
          <w:p w14:paraId="14704F0E" w14:textId="7FE82834" w:rsidR="000B6E34" w:rsidRPr="0072199E" w:rsidRDefault="000B6E34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Date</w:t>
            </w:r>
          </w:p>
        </w:tc>
        <w:tc>
          <w:tcPr>
            <w:tcW w:w="4771" w:type="dxa"/>
          </w:tcPr>
          <w:p w14:paraId="33958BED" w14:textId="25663EDF" w:rsidR="000B6E34" w:rsidRPr="0072199E" w:rsidRDefault="0072199E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Comment</w:t>
            </w:r>
          </w:p>
        </w:tc>
      </w:tr>
      <w:tr w:rsidR="000B6E34" w:rsidRPr="0072199E" w14:paraId="4C1FD893" w14:textId="77777777" w:rsidTr="000B6E34">
        <w:tc>
          <w:tcPr>
            <w:tcW w:w="2337" w:type="dxa"/>
          </w:tcPr>
          <w:p w14:paraId="70209899" w14:textId="67F845E5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1 sent</w:t>
            </w:r>
          </w:p>
        </w:tc>
        <w:tc>
          <w:tcPr>
            <w:tcW w:w="2337" w:type="dxa"/>
          </w:tcPr>
          <w:p w14:paraId="2D8B1F31" w14:textId="2FC47712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4D386D26" w14:textId="5DF32CA4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4DB73897" w14:textId="77777777" w:rsidTr="000B6E34">
        <w:tc>
          <w:tcPr>
            <w:tcW w:w="2337" w:type="dxa"/>
          </w:tcPr>
          <w:p w14:paraId="7CC44E86" w14:textId="6E128565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1 complete</w:t>
            </w:r>
          </w:p>
        </w:tc>
        <w:tc>
          <w:tcPr>
            <w:tcW w:w="2337" w:type="dxa"/>
          </w:tcPr>
          <w:p w14:paraId="120563B1" w14:textId="7A7ECA21" w:rsidR="000B6E34" w:rsidRPr="0072199E" w:rsidRDefault="003C5C1D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7</w:t>
            </w:r>
            <w:r w:rsidR="000B6E34" w:rsidRPr="0072199E">
              <w:rPr>
                <w:rFonts w:ascii="Arial" w:hAnsi="Arial" w:cs="Arial"/>
                <w:sz w:val="22"/>
                <w:szCs w:val="22"/>
              </w:rPr>
              <w:t>/</w:t>
            </w:r>
            <w:r>
              <w:rPr>
                <w:rFonts w:ascii="Arial" w:hAnsi="Arial" w:cs="Arial"/>
                <w:sz w:val="22"/>
                <w:szCs w:val="22"/>
              </w:rPr>
              <w:t>21</w:t>
            </w:r>
            <w:r w:rsidR="000B6E34" w:rsidRPr="0072199E">
              <w:rPr>
                <w:rFonts w:ascii="Arial" w:hAnsi="Arial" w:cs="Arial"/>
                <w:sz w:val="22"/>
                <w:szCs w:val="22"/>
              </w:rPr>
              <w:t>/2021</w:t>
            </w:r>
          </w:p>
        </w:tc>
        <w:tc>
          <w:tcPr>
            <w:tcW w:w="4771" w:type="dxa"/>
          </w:tcPr>
          <w:p w14:paraId="73CE3E43" w14:textId="77777777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1539B2B4" w14:textId="77777777" w:rsidTr="000B6E34">
        <w:tc>
          <w:tcPr>
            <w:tcW w:w="2337" w:type="dxa"/>
          </w:tcPr>
          <w:p w14:paraId="0902CBBB" w14:textId="2BC766A1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2 sent</w:t>
            </w:r>
          </w:p>
        </w:tc>
        <w:tc>
          <w:tcPr>
            <w:tcW w:w="2337" w:type="dxa"/>
          </w:tcPr>
          <w:p w14:paraId="4B4E745D" w14:textId="77777777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1BD2ECCD" w14:textId="77777777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55EAB7F2" w14:textId="77777777" w:rsidTr="000B6E34">
        <w:tc>
          <w:tcPr>
            <w:tcW w:w="2337" w:type="dxa"/>
          </w:tcPr>
          <w:p w14:paraId="39048E85" w14:textId="412F3F9E" w:rsidR="000B6E34" w:rsidRPr="0072199E" w:rsidRDefault="000B6E34" w:rsidP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2 complete</w:t>
            </w:r>
          </w:p>
        </w:tc>
        <w:tc>
          <w:tcPr>
            <w:tcW w:w="2337" w:type="dxa"/>
          </w:tcPr>
          <w:p w14:paraId="7EDC662B" w14:textId="77777777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6848885D" w14:textId="77777777" w:rsidR="000B6E34" w:rsidRPr="0072199E" w:rsidRDefault="000B6E34" w:rsidP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65D0C68" w14:textId="3AB1B85D" w:rsidR="00E50997" w:rsidRPr="0072199E" w:rsidRDefault="00E50997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10530" w:type="dxa"/>
        <w:tblInd w:w="-545" w:type="dxa"/>
        <w:tblLook w:val="04A0" w:firstRow="1" w:lastRow="0" w:firstColumn="1" w:lastColumn="0" w:noHBand="0" w:noVBand="1"/>
      </w:tblPr>
      <w:tblGrid>
        <w:gridCol w:w="1484"/>
        <w:gridCol w:w="9576"/>
      </w:tblGrid>
      <w:tr w:rsidR="0072199E" w:rsidRPr="0072199E" w14:paraId="56331FFB" w14:textId="77777777" w:rsidTr="003D1027">
        <w:tc>
          <w:tcPr>
            <w:tcW w:w="1484" w:type="dxa"/>
          </w:tcPr>
          <w:p w14:paraId="41C5D875" w14:textId="0D1A4C6D" w:rsidR="0072199E" w:rsidRPr="0072199E" w:rsidRDefault="0072199E" w:rsidP="0072199E">
            <w:pPr>
              <w:jc w:val="center"/>
              <w:rPr>
                <w:rFonts w:ascii="Arial" w:hAnsi="Arial" w:cs="Arial"/>
                <w:sz w:val="20"/>
              </w:rPr>
            </w:pPr>
            <w:r w:rsidRPr="0072199E">
              <w:rPr>
                <w:rFonts w:ascii="Arial" w:hAnsi="Arial" w:cs="Arial"/>
                <w:sz w:val="20"/>
              </w:rPr>
              <w:t>QC Item</w:t>
            </w:r>
          </w:p>
        </w:tc>
        <w:tc>
          <w:tcPr>
            <w:tcW w:w="9046" w:type="dxa"/>
          </w:tcPr>
          <w:p w14:paraId="5E0DE5BB" w14:textId="2A715D26" w:rsidR="0072199E" w:rsidRPr="0072199E" w:rsidRDefault="0072199E" w:rsidP="0072199E">
            <w:pPr>
              <w:jc w:val="center"/>
              <w:rPr>
                <w:rFonts w:ascii="Arial" w:hAnsi="Arial" w:cs="Arial"/>
                <w:sz w:val="20"/>
              </w:rPr>
            </w:pPr>
            <w:r w:rsidRPr="0072199E">
              <w:rPr>
                <w:rFonts w:ascii="Arial" w:hAnsi="Arial" w:cs="Arial"/>
                <w:sz w:val="20"/>
              </w:rPr>
              <w:t>Comments and figures</w:t>
            </w:r>
          </w:p>
        </w:tc>
      </w:tr>
      <w:tr w:rsidR="0072199E" w:rsidRPr="0072199E" w14:paraId="22FCD8A2" w14:textId="77777777" w:rsidTr="003D1027">
        <w:tc>
          <w:tcPr>
            <w:tcW w:w="1484" w:type="dxa"/>
          </w:tcPr>
          <w:p w14:paraId="025ED35A" w14:textId="436E3F14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1. </w:t>
            </w:r>
            <w:r w:rsidR="0072199E" w:rsidRPr="0072199E">
              <w:rPr>
                <w:rFonts w:ascii="Arial" w:hAnsi="Arial" w:cs="Arial"/>
                <w:sz w:val="20"/>
              </w:rPr>
              <w:t>Comparison with effective mapping</w:t>
            </w:r>
          </w:p>
        </w:tc>
        <w:tc>
          <w:tcPr>
            <w:tcW w:w="9046" w:type="dxa"/>
          </w:tcPr>
          <w:p w14:paraId="5C50DA46" w14:textId="01B9BA18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1.1</w:t>
            </w:r>
            <w:r w:rsidR="00AC2967">
              <w:rPr>
                <w:rFonts w:ascii="Arial" w:hAnsi="Arial" w:cs="Arial"/>
                <w:sz w:val="20"/>
              </w:rPr>
              <w:t xml:space="preserve"> BLE mapping of populated areas from Aransas Pass to Rockport displays significantly more areas of flood risk than effective maps. These differences stem from the use of rain-on-grid boundary conditions and lack of </w:t>
            </w:r>
            <w:r w:rsidR="00DD4FAE">
              <w:rPr>
                <w:rFonts w:ascii="Arial" w:hAnsi="Arial" w:cs="Arial"/>
                <w:sz w:val="20"/>
              </w:rPr>
              <w:t xml:space="preserve">effective </w:t>
            </w:r>
            <w:r w:rsidR="00AC2967">
              <w:rPr>
                <w:rFonts w:ascii="Arial" w:hAnsi="Arial" w:cs="Arial"/>
                <w:sz w:val="20"/>
              </w:rPr>
              <w:t xml:space="preserve">detailed studies. Some areas with coastal flood hazards expand which indicates that BLE identifies a higher risk. </w:t>
            </w:r>
            <w:r w:rsidR="00DD4FAE">
              <w:rPr>
                <w:rFonts w:ascii="Arial" w:hAnsi="Arial" w:cs="Arial"/>
                <w:sz w:val="20"/>
              </w:rPr>
              <w:t xml:space="preserve">We can expect this “widening” to increase as we move away from the shoreline, but it may be something we need to </w:t>
            </w:r>
            <w:r w:rsidR="00AC2967">
              <w:rPr>
                <w:rFonts w:ascii="Arial" w:hAnsi="Arial" w:cs="Arial"/>
                <w:sz w:val="20"/>
              </w:rPr>
              <w:t xml:space="preserve">consider in the display of data in the </w:t>
            </w:r>
            <w:r w:rsidR="00DD4FAE">
              <w:rPr>
                <w:rFonts w:ascii="Arial" w:hAnsi="Arial" w:cs="Arial"/>
                <w:sz w:val="20"/>
              </w:rPr>
              <w:t xml:space="preserve">BLE </w:t>
            </w:r>
            <w:r w:rsidR="00AC2967">
              <w:rPr>
                <w:rFonts w:ascii="Arial" w:hAnsi="Arial" w:cs="Arial"/>
                <w:sz w:val="20"/>
              </w:rPr>
              <w:t>viewer (see figure).</w:t>
            </w:r>
          </w:p>
          <w:p w14:paraId="3E0DF50A" w14:textId="77777777" w:rsidR="00AC2967" w:rsidRDefault="00AC2967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E59E8B5" w14:textId="77777777" w:rsidR="00AC2967" w:rsidRDefault="00AC2967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AC2967">
              <w:rPr>
                <w:rFonts w:ascii="Arial" w:hAnsi="Arial" w:cs="Arial"/>
                <w:noProof/>
                <w:sz w:val="20"/>
              </w:rPr>
              <w:lastRenderedPageBreak/>
              <w:drawing>
                <wp:inline distT="0" distB="0" distL="0" distR="0" wp14:anchorId="1301B3F4" wp14:editId="4C4043A1">
                  <wp:extent cx="4914900" cy="3067087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6968" cy="3074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481AE1" w14:textId="77777777" w:rsidR="00AC2967" w:rsidRDefault="00AC2967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DD67251" w14:textId="6F701518" w:rsidR="00AC2967" w:rsidRDefault="00AC296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1.2 Mapping near </w:t>
            </w:r>
            <w:r w:rsidR="00DD4FAE">
              <w:rPr>
                <w:rFonts w:ascii="Arial" w:hAnsi="Arial" w:cs="Arial"/>
                <w:sz w:val="20"/>
              </w:rPr>
              <w:t>a canal running mostly parallel to N. Main St near Ingleside compares consistently wider than the effective, but not unreasonably so.</w:t>
            </w:r>
          </w:p>
          <w:p w14:paraId="3F9C5FBA" w14:textId="77777777" w:rsidR="00DD4FAE" w:rsidRDefault="00DD4FA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7906877E" w14:textId="77777777" w:rsidR="00DD4FAE" w:rsidRDefault="00DD4FA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DD4FAE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D1BF159" wp14:editId="3C9A5622">
                  <wp:extent cx="4960620" cy="3783003"/>
                  <wp:effectExtent l="0" t="0" r="0" b="825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6462" cy="3787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F2D3CC" w14:textId="77777777" w:rsidR="00DD4FAE" w:rsidRDefault="00DD4FA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61509104" w14:textId="071EA42D" w:rsidR="003D1027" w:rsidRDefault="003D102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1.3 Zone </w:t>
            </w:r>
            <w:proofErr w:type="gramStart"/>
            <w:r>
              <w:rPr>
                <w:rFonts w:ascii="Arial" w:hAnsi="Arial" w:cs="Arial"/>
                <w:sz w:val="20"/>
              </w:rPr>
              <w:t>As</w:t>
            </w:r>
            <w:proofErr w:type="gramEnd"/>
            <w:r>
              <w:rPr>
                <w:rFonts w:ascii="Arial" w:hAnsi="Arial" w:cs="Arial"/>
                <w:sz w:val="20"/>
              </w:rPr>
              <w:t xml:space="preserve"> for </w:t>
            </w:r>
            <w:proofErr w:type="spellStart"/>
            <w:r>
              <w:rPr>
                <w:rFonts w:ascii="Arial" w:hAnsi="Arial" w:cs="Arial"/>
                <w:sz w:val="20"/>
              </w:rPr>
              <w:t>Copano</w:t>
            </w:r>
            <w:proofErr w:type="spellEnd"/>
            <w:r>
              <w:rPr>
                <w:rFonts w:ascii="Arial" w:hAnsi="Arial" w:cs="Arial"/>
                <w:sz w:val="20"/>
              </w:rPr>
              <w:t xml:space="preserve"> Creek and Alameda Creek are narrower than BLE estimates. </w:t>
            </w:r>
            <w:r w:rsidR="00AB36AE">
              <w:rPr>
                <w:rFonts w:ascii="Arial" w:hAnsi="Arial" w:cs="Arial"/>
                <w:sz w:val="20"/>
              </w:rPr>
              <w:t xml:space="preserve">In some cases, the difference is significant. I do not know what the difference in elevation is. The same difference is visible in </w:t>
            </w:r>
            <w:proofErr w:type="gramStart"/>
            <w:r w:rsidR="00AB36AE">
              <w:rPr>
                <w:rFonts w:ascii="Arial" w:hAnsi="Arial" w:cs="Arial"/>
                <w:sz w:val="20"/>
              </w:rPr>
              <w:t>other</w:t>
            </w:r>
            <w:proofErr w:type="gramEnd"/>
            <w:r w:rsidR="00AB36AE">
              <w:rPr>
                <w:rFonts w:ascii="Arial" w:hAnsi="Arial" w:cs="Arial"/>
                <w:sz w:val="20"/>
              </w:rPr>
              <w:t xml:space="preserve"> Zone As.</w:t>
            </w:r>
            <w:r w:rsidR="004A3820">
              <w:rPr>
                <w:rFonts w:ascii="Arial" w:hAnsi="Arial" w:cs="Arial"/>
                <w:sz w:val="20"/>
              </w:rPr>
              <w:t xml:space="preserve"> Of note, a review of flood depths indicates that most of the BLE maps depths less than 1 foot. Also, several Zone As do not follow topographic features well.</w:t>
            </w:r>
          </w:p>
          <w:p w14:paraId="0169E2C4" w14:textId="77777777" w:rsidR="00AB36AE" w:rsidRDefault="00AB36A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1D76E821" w14:textId="7B93DA46" w:rsidR="00AB36AE" w:rsidRDefault="00AB36A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AB36AE">
              <w:rPr>
                <w:rFonts w:ascii="Arial" w:hAnsi="Arial" w:cs="Arial"/>
                <w:sz w:val="20"/>
              </w:rPr>
              <w:drawing>
                <wp:inline distT="0" distB="0" distL="0" distR="0" wp14:anchorId="7229B5EC" wp14:editId="453520BC">
                  <wp:extent cx="5943600" cy="373570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735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E05BD0" w14:textId="3D8D164F" w:rsidR="00AB36AE" w:rsidRDefault="00AB36A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0ADEDE25" w14:textId="7647B464" w:rsidR="00AB36AE" w:rsidRPr="0072199E" w:rsidRDefault="00AB36AE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5D6B7627" w14:textId="77777777" w:rsidTr="003D1027">
        <w:tc>
          <w:tcPr>
            <w:tcW w:w="1484" w:type="dxa"/>
          </w:tcPr>
          <w:p w14:paraId="590F893F" w14:textId="16AB2A8E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2. </w:t>
            </w:r>
            <w:r w:rsidR="0072199E" w:rsidRPr="0072199E">
              <w:rPr>
                <w:rFonts w:ascii="Arial" w:hAnsi="Arial" w:cs="Arial"/>
                <w:sz w:val="20"/>
              </w:rPr>
              <w:t>Mapping near downstream boundary condition</w:t>
            </w:r>
          </w:p>
        </w:tc>
        <w:tc>
          <w:tcPr>
            <w:tcW w:w="9046" w:type="dxa"/>
          </w:tcPr>
          <w:p w14:paraId="0DAFC734" w14:textId="335F0F8F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2.1</w:t>
            </w:r>
            <w:r w:rsidR="00DD4FAE">
              <w:rPr>
                <w:rFonts w:ascii="Arial" w:hAnsi="Arial" w:cs="Arial"/>
                <w:sz w:val="20"/>
              </w:rPr>
              <w:t xml:space="preserve"> </w:t>
            </w:r>
            <w:r w:rsidR="0073470E">
              <w:rPr>
                <w:rFonts w:ascii="Arial" w:hAnsi="Arial" w:cs="Arial"/>
                <w:sz w:val="20"/>
              </w:rPr>
              <w:t xml:space="preserve">Mapping appears correct, but some areas do not connect to the bay. This disconnection </w:t>
            </w:r>
            <w:proofErr w:type="gramStart"/>
            <w:r w:rsidR="0073470E">
              <w:rPr>
                <w:rFonts w:ascii="Arial" w:hAnsi="Arial" w:cs="Arial"/>
                <w:sz w:val="20"/>
              </w:rPr>
              <w:t>appears to take</w:t>
            </w:r>
            <w:proofErr w:type="gramEnd"/>
            <w:r w:rsidR="0073470E">
              <w:rPr>
                <w:rFonts w:ascii="Arial" w:hAnsi="Arial" w:cs="Arial"/>
                <w:sz w:val="20"/>
              </w:rPr>
              <w:t xml:space="preserve"> place along steep shorelines, where coastal flood hazards are narrow.</w:t>
            </w:r>
          </w:p>
          <w:p w14:paraId="7C84D1EB" w14:textId="70E8DF03" w:rsidR="0073470E" w:rsidRDefault="0073470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0C06296" w14:textId="47C7515D" w:rsidR="00486827" w:rsidRDefault="00486827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486827">
              <w:rPr>
                <w:rFonts w:ascii="Arial" w:hAnsi="Arial" w:cs="Arial"/>
                <w:sz w:val="20"/>
              </w:rPr>
              <w:lastRenderedPageBreak/>
              <w:drawing>
                <wp:inline distT="0" distB="0" distL="0" distR="0" wp14:anchorId="1FA48FFC" wp14:editId="382CD03B">
                  <wp:extent cx="4291965" cy="3327649"/>
                  <wp:effectExtent l="0" t="0" r="0" b="635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5238" cy="3345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893580" w14:textId="77777777" w:rsidR="00486827" w:rsidRDefault="00486827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0C487D3C" w14:textId="77777777" w:rsidR="0073470E" w:rsidRDefault="0073470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73470E">
              <w:rPr>
                <w:rFonts w:ascii="Arial" w:hAnsi="Arial" w:cs="Arial"/>
                <w:sz w:val="20"/>
              </w:rPr>
              <w:drawing>
                <wp:inline distT="0" distB="0" distL="0" distR="0" wp14:anchorId="637021FD" wp14:editId="3A95E825">
                  <wp:extent cx="4292389" cy="3329353"/>
                  <wp:effectExtent l="0" t="0" r="0" b="444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2633" cy="3345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110EA4" w14:textId="2A3D49E4" w:rsidR="00486827" w:rsidRPr="0072199E" w:rsidRDefault="00486827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355FF0CD" w14:textId="77777777" w:rsidTr="003D1027">
        <w:tc>
          <w:tcPr>
            <w:tcW w:w="1484" w:type="dxa"/>
          </w:tcPr>
          <w:p w14:paraId="7EA0A86E" w14:textId="74B73F1B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3. </w:t>
            </w:r>
            <w:r w:rsidR="0072199E" w:rsidRPr="0072199E">
              <w:rPr>
                <w:rFonts w:ascii="Arial" w:hAnsi="Arial" w:cs="Arial"/>
                <w:sz w:val="20"/>
              </w:rPr>
              <w:t xml:space="preserve">Mapping of </w:t>
            </w:r>
            <w:proofErr w:type="spellStart"/>
            <w:r>
              <w:rPr>
                <w:rFonts w:ascii="Arial" w:hAnsi="Arial" w:cs="Arial"/>
                <w:sz w:val="20"/>
              </w:rPr>
              <w:t>inter</w:t>
            </w:r>
            <w:r w:rsidR="0072199E" w:rsidRPr="0072199E">
              <w:rPr>
                <w:rFonts w:ascii="Arial" w:hAnsi="Arial" w:cs="Arial"/>
                <w:sz w:val="20"/>
              </w:rPr>
              <w:t>basin</w:t>
            </w:r>
            <w:proofErr w:type="spellEnd"/>
            <w:r w:rsidR="0072199E" w:rsidRPr="0072199E">
              <w:rPr>
                <w:rFonts w:ascii="Arial" w:hAnsi="Arial" w:cs="Arial"/>
                <w:sz w:val="20"/>
              </w:rPr>
              <w:t xml:space="preserve"> flow transfer (tie-ins)</w:t>
            </w:r>
          </w:p>
        </w:tc>
        <w:tc>
          <w:tcPr>
            <w:tcW w:w="9046" w:type="dxa"/>
          </w:tcPr>
          <w:p w14:paraId="685DA00E" w14:textId="0B4F3E07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3.1</w:t>
            </w:r>
            <w:r w:rsidR="00486827">
              <w:rPr>
                <w:rFonts w:ascii="Arial" w:hAnsi="Arial" w:cs="Arial"/>
                <w:sz w:val="20"/>
              </w:rPr>
              <w:t xml:space="preserve"> </w:t>
            </w:r>
            <w:r w:rsidR="00486827">
              <w:rPr>
                <w:rFonts w:ascii="Arial" w:hAnsi="Arial" w:cs="Arial"/>
                <w:b/>
                <w:bCs/>
                <w:sz w:val="20"/>
              </w:rPr>
              <w:t xml:space="preserve">These screenshots also apply to North Corpus Christi HUC-8 </w:t>
            </w:r>
            <w:r w:rsidR="00486827" w:rsidRPr="00486827">
              <w:rPr>
                <w:rFonts w:ascii="Arial" w:hAnsi="Arial" w:cs="Arial"/>
                <w:sz w:val="20"/>
              </w:rPr>
              <w:t xml:space="preserve">— </w:t>
            </w:r>
            <w:r w:rsidR="004B449D">
              <w:rPr>
                <w:rFonts w:ascii="Arial" w:hAnsi="Arial" w:cs="Arial"/>
                <w:sz w:val="20"/>
              </w:rPr>
              <w:t>BLE mapping along NCC and Aransas Bay shows significant differences. For a long section of the boundary, we may use a road as basin and mapping divide. Some areas simply require deletion of the neighboring HUC’s mapping. Other areas require more careful tie-ins. See screenshots below.</w:t>
            </w:r>
          </w:p>
          <w:p w14:paraId="1B3ABC98" w14:textId="77777777" w:rsidR="004B449D" w:rsidRDefault="004B449D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5FE7707D" w14:textId="45A60144" w:rsidR="004B449D" w:rsidRDefault="004B449D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4B449D">
              <w:rPr>
                <w:rFonts w:ascii="Arial" w:hAnsi="Arial" w:cs="Arial"/>
                <w:sz w:val="20"/>
              </w:rPr>
              <w:lastRenderedPageBreak/>
              <w:drawing>
                <wp:inline distT="0" distB="0" distL="0" distR="0" wp14:anchorId="13C46250" wp14:editId="3844942F">
                  <wp:extent cx="4654062" cy="2921716"/>
                  <wp:effectExtent l="0" t="0" r="0" b="0"/>
                  <wp:docPr id="1026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B440CD6-FC9C-4541-B949-A745FFE65D4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2">
                            <a:extLst>
                              <a:ext uri="{FF2B5EF4-FFF2-40B4-BE49-F238E27FC236}">
                                <a16:creationId xmlns:a16="http://schemas.microsoft.com/office/drawing/2014/main" id="{8B440CD6-FC9C-4541-B949-A745FFE65D4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4118" cy="2934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DC783A" w14:textId="18245A39" w:rsidR="004B449D" w:rsidRDefault="004B449D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009B69C1" wp14:editId="07FB12E1">
                  <wp:extent cx="2917802" cy="2317408"/>
                  <wp:effectExtent l="0" t="0" r="0" b="698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550" cy="2341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20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641A41FC" wp14:editId="6A4E5FB3">
                  <wp:extent cx="2870864" cy="2297918"/>
                  <wp:effectExtent l="0" t="0" r="5715" b="762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r:link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422" cy="2355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3823D9" w14:textId="77777777" w:rsidR="004B449D" w:rsidRDefault="004B449D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46DE51F6" wp14:editId="70AF43DE">
                  <wp:extent cx="2168770" cy="2254408"/>
                  <wp:effectExtent l="0" t="0" r="317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r:link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1974" cy="2299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6A843C" w14:textId="0C8B6F43" w:rsidR="004B449D" w:rsidRPr="00486827" w:rsidRDefault="004B449D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059E5C40" w14:textId="77777777" w:rsidTr="003D1027">
        <w:tc>
          <w:tcPr>
            <w:tcW w:w="1484" w:type="dxa"/>
          </w:tcPr>
          <w:p w14:paraId="3CA5BDD1" w14:textId="3C95E310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4. </w:t>
            </w:r>
            <w:r w:rsidR="0072199E" w:rsidRPr="0072199E">
              <w:rPr>
                <w:rFonts w:ascii="Arial" w:hAnsi="Arial" w:cs="Arial"/>
                <w:sz w:val="20"/>
              </w:rPr>
              <w:t xml:space="preserve">Stream </w:t>
            </w:r>
            <w:r>
              <w:rPr>
                <w:rFonts w:ascii="Arial" w:hAnsi="Arial" w:cs="Arial"/>
                <w:sz w:val="20"/>
              </w:rPr>
              <w:t>continuity</w:t>
            </w:r>
          </w:p>
        </w:tc>
        <w:tc>
          <w:tcPr>
            <w:tcW w:w="9046" w:type="dxa"/>
          </w:tcPr>
          <w:p w14:paraId="1CC76A68" w14:textId="3BAC9E77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4.1</w:t>
            </w:r>
            <w:r w:rsidR="004B449D">
              <w:rPr>
                <w:rFonts w:ascii="Arial" w:hAnsi="Arial" w:cs="Arial"/>
                <w:sz w:val="20"/>
              </w:rPr>
              <w:t xml:space="preserve"> </w:t>
            </w:r>
            <w:r w:rsidR="00BF4C08">
              <w:rPr>
                <w:rFonts w:ascii="Arial" w:hAnsi="Arial" w:cs="Arial"/>
                <w:sz w:val="20"/>
              </w:rPr>
              <w:t>Connectivity of 1% floodplains appears correct throughout the HUC-8, in part thanks to the wide floodplains. Some isolated “ponds” appear throughout the basin. Review if these ponds conform to the mapping standard.</w:t>
            </w:r>
            <w:r w:rsidR="00541181">
              <w:rPr>
                <w:rFonts w:ascii="Arial" w:hAnsi="Arial" w:cs="Arial"/>
                <w:sz w:val="20"/>
              </w:rPr>
              <w:t xml:space="preserve"> The 10% floodplain shows more discontinuities or ponding features (</w:t>
            </w:r>
            <w:proofErr w:type="gramStart"/>
            <w:r w:rsidR="00541181">
              <w:rPr>
                <w:rFonts w:ascii="Arial" w:hAnsi="Arial" w:cs="Arial"/>
                <w:sz w:val="20"/>
              </w:rPr>
              <w:t>in my opinion, these</w:t>
            </w:r>
            <w:proofErr w:type="gramEnd"/>
            <w:r w:rsidR="00541181">
              <w:rPr>
                <w:rFonts w:ascii="Arial" w:hAnsi="Arial" w:cs="Arial"/>
                <w:sz w:val="20"/>
              </w:rPr>
              <w:t xml:space="preserve"> depressions appear justified, given BLE level of detail).</w:t>
            </w:r>
          </w:p>
          <w:p w14:paraId="10A28228" w14:textId="427090E3" w:rsidR="00BF4C08" w:rsidRDefault="00BF4C08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73731B58" w14:textId="5C3287CB" w:rsidR="00BF4C08" w:rsidRDefault="00BF4C08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BF4C08">
              <w:rPr>
                <w:rFonts w:ascii="Arial" w:hAnsi="Arial" w:cs="Arial"/>
                <w:sz w:val="20"/>
              </w:rPr>
              <w:drawing>
                <wp:inline distT="0" distB="0" distL="0" distR="0" wp14:anchorId="3DF1BD43" wp14:editId="59865A67">
                  <wp:extent cx="5738447" cy="3598178"/>
                  <wp:effectExtent l="0" t="0" r="0" b="254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373" cy="3601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905708" w14:textId="5167910B" w:rsidR="00541181" w:rsidRDefault="00541181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0D34233F" w14:textId="77777777" w:rsidR="00541181" w:rsidRDefault="00541181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D6FD07F" w14:textId="2949D5F9" w:rsidR="00BF4C08" w:rsidRPr="0072199E" w:rsidRDefault="00BF4C08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1A32A5A3" w14:textId="77777777" w:rsidTr="003D1027">
        <w:tc>
          <w:tcPr>
            <w:tcW w:w="1484" w:type="dxa"/>
          </w:tcPr>
          <w:p w14:paraId="2CD4DF44" w14:textId="41394348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5. </w:t>
            </w:r>
            <w:r w:rsidR="0072199E" w:rsidRPr="0072199E">
              <w:rPr>
                <w:rFonts w:ascii="Arial" w:hAnsi="Arial" w:cs="Arial"/>
                <w:sz w:val="20"/>
              </w:rPr>
              <w:t>Mapped depths</w:t>
            </w:r>
          </w:p>
        </w:tc>
        <w:tc>
          <w:tcPr>
            <w:tcW w:w="9046" w:type="dxa"/>
          </w:tcPr>
          <w:p w14:paraId="7D8609CB" w14:textId="5372476E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5.1</w:t>
            </w:r>
            <w:r w:rsidR="00BF4C08">
              <w:rPr>
                <w:rFonts w:ascii="Arial" w:hAnsi="Arial" w:cs="Arial"/>
                <w:sz w:val="20"/>
              </w:rPr>
              <w:t xml:space="preserve"> </w:t>
            </w:r>
            <w:r w:rsidR="002C3C96">
              <w:rPr>
                <w:rFonts w:ascii="Arial" w:hAnsi="Arial" w:cs="Arial"/>
                <w:sz w:val="20"/>
              </w:rPr>
              <w:t xml:space="preserve">Mapping follows depths of </w:t>
            </w:r>
            <w:r w:rsidR="00541181">
              <w:rPr>
                <w:rFonts w:ascii="Arial" w:hAnsi="Arial" w:cs="Arial"/>
                <w:sz w:val="20"/>
              </w:rPr>
              <w:t>~</w:t>
            </w:r>
            <w:r w:rsidR="002C3C96">
              <w:rPr>
                <w:rFonts w:ascii="Arial" w:hAnsi="Arial" w:cs="Arial"/>
                <w:sz w:val="20"/>
              </w:rPr>
              <w:t xml:space="preserve">0.4 </w:t>
            </w:r>
            <w:r w:rsidR="00541181">
              <w:rPr>
                <w:rFonts w:ascii="Arial" w:hAnsi="Arial" w:cs="Arial"/>
                <w:sz w:val="20"/>
              </w:rPr>
              <w:t>feet</w:t>
            </w:r>
            <w:r w:rsidR="002C3C96">
              <w:rPr>
                <w:rFonts w:ascii="Arial" w:hAnsi="Arial" w:cs="Arial"/>
                <w:sz w:val="20"/>
              </w:rPr>
              <w:t>.</w:t>
            </w:r>
          </w:p>
        </w:tc>
      </w:tr>
      <w:tr w:rsidR="0072199E" w:rsidRPr="0072199E" w14:paraId="7FC00F4E" w14:textId="77777777" w:rsidTr="003D1027">
        <w:tc>
          <w:tcPr>
            <w:tcW w:w="1484" w:type="dxa"/>
          </w:tcPr>
          <w:p w14:paraId="51D463E9" w14:textId="35C217E9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 Mapping consistent with frequency</w:t>
            </w:r>
          </w:p>
        </w:tc>
        <w:tc>
          <w:tcPr>
            <w:tcW w:w="9046" w:type="dxa"/>
          </w:tcPr>
          <w:p w14:paraId="689F6C8E" w14:textId="77777777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6.1</w:t>
            </w:r>
            <w:r w:rsidR="002C3C96">
              <w:rPr>
                <w:rFonts w:ascii="Arial" w:hAnsi="Arial" w:cs="Arial"/>
                <w:sz w:val="20"/>
              </w:rPr>
              <w:t xml:space="preserve"> </w:t>
            </w:r>
            <w:r w:rsidR="00541181">
              <w:rPr>
                <w:rFonts w:ascii="Arial" w:hAnsi="Arial" w:cs="Arial"/>
                <w:sz w:val="20"/>
              </w:rPr>
              <w:t>Mapping of the three flood hazards is consistent with their frequency, i.e., 0.2% &gt; 1% &gt; 10%.</w:t>
            </w:r>
          </w:p>
          <w:p w14:paraId="5C09D1BC" w14:textId="700771A3" w:rsidR="00541181" w:rsidRPr="0072199E" w:rsidRDefault="00541181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33EB102F" w14:textId="77777777" w:rsidTr="003D1027">
        <w:tc>
          <w:tcPr>
            <w:tcW w:w="1484" w:type="dxa"/>
          </w:tcPr>
          <w:p w14:paraId="678BCE76" w14:textId="0D4A8210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7. Miscellaneous</w:t>
            </w:r>
          </w:p>
        </w:tc>
        <w:tc>
          <w:tcPr>
            <w:tcW w:w="9046" w:type="dxa"/>
          </w:tcPr>
          <w:p w14:paraId="797C62E6" w14:textId="7C054A44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7.1</w:t>
            </w:r>
            <w:r w:rsidR="00541181">
              <w:rPr>
                <w:rFonts w:ascii="Arial" w:hAnsi="Arial" w:cs="Arial"/>
                <w:sz w:val="20"/>
              </w:rPr>
              <w:t xml:space="preserve"> N/A</w:t>
            </w:r>
          </w:p>
        </w:tc>
      </w:tr>
    </w:tbl>
    <w:p w14:paraId="4EFAA5AB" w14:textId="17FC7F53" w:rsidR="00E50997" w:rsidRPr="0072199E" w:rsidRDefault="00E50997">
      <w:pPr>
        <w:rPr>
          <w:rFonts w:ascii="Arial" w:hAnsi="Arial" w:cs="Arial"/>
          <w:sz w:val="22"/>
          <w:szCs w:val="22"/>
        </w:rPr>
      </w:pPr>
    </w:p>
    <w:p w14:paraId="4CAD4714" w14:textId="2E8C9F63" w:rsidR="000B6E34" w:rsidRPr="0072199E" w:rsidRDefault="000B6E34">
      <w:pPr>
        <w:rPr>
          <w:rFonts w:ascii="Arial" w:hAnsi="Arial" w:cs="Arial"/>
          <w:sz w:val="22"/>
          <w:szCs w:val="22"/>
        </w:rPr>
      </w:pPr>
    </w:p>
    <w:p w14:paraId="3C629A97" w14:textId="2DD15E29" w:rsidR="00E50997" w:rsidRPr="0072199E" w:rsidRDefault="00E50997">
      <w:pPr>
        <w:rPr>
          <w:rFonts w:ascii="Arial" w:hAnsi="Arial" w:cs="Arial"/>
          <w:sz w:val="22"/>
          <w:szCs w:val="22"/>
        </w:rPr>
      </w:pPr>
    </w:p>
    <w:p w14:paraId="5416136D" w14:textId="77777777" w:rsidR="00E50997" w:rsidRPr="0072199E" w:rsidRDefault="00E50997">
      <w:pPr>
        <w:rPr>
          <w:rFonts w:ascii="Arial" w:hAnsi="Arial" w:cs="Arial"/>
          <w:sz w:val="22"/>
          <w:szCs w:val="22"/>
        </w:rPr>
      </w:pPr>
    </w:p>
    <w:sectPr w:rsidR="00E50997" w:rsidRPr="0072199E" w:rsidSect="008F06AE">
      <w:headerReference w:type="default" r:id="rId21"/>
      <w:headerReference w:type="first" r:id="rId22"/>
      <w:footerReference w:type="first" r:id="rId23"/>
      <w:type w:val="continuous"/>
      <w:pgSz w:w="12240" w:h="15840" w:code="1"/>
      <w:pgMar w:top="2160" w:right="1440" w:bottom="1440" w:left="1440" w:header="990" w:footer="471" w:gutter="0"/>
      <w:cols w:space="720"/>
      <w:noEndnote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135A71" w14:textId="77777777" w:rsidR="005B7E30" w:rsidRDefault="005B7E30">
      <w:r>
        <w:separator/>
      </w:r>
    </w:p>
  </w:endnote>
  <w:endnote w:type="continuationSeparator" w:id="0">
    <w:p w14:paraId="20572E5F" w14:textId="77777777" w:rsidR="005B7E30" w:rsidRDefault="005B7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otham-Book">
    <w:altName w:val="Calibri"/>
    <w:charset w:val="00"/>
    <w:family w:val="auto"/>
    <w:pitch w:val="variable"/>
    <w:sig w:usb0="8000002F" w:usb1="00000048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ED650F" w14:textId="77777777" w:rsidR="008F06AE" w:rsidRPr="00FD52CB" w:rsidRDefault="0069630A" w:rsidP="008F06AE">
    <w:pPr>
      <w:pStyle w:val="Footer"/>
      <w:ind w:hanging="360"/>
      <w:rPr>
        <w:szCs w:val="14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59776" behindDoc="0" locked="0" layoutInCell="1" allowOverlap="1" wp14:anchorId="54D791CB" wp14:editId="6D00E9E4">
              <wp:simplePos x="0" y="0"/>
              <wp:positionH relativeFrom="column">
                <wp:posOffset>-342900</wp:posOffset>
              </wp:positionH>
              <wp:positionV relativeFrom="paragraph">
                <wp:posOffset>-287655</wp:posOffset>
              </wp:positionV>
              <wp:extent cx="5149850" cy="540385"/>
              <wp:effectExtent l="0" t="0" r="0" b="0"/>
              <wp:wrapSquare wrapText="bothSides"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49850" cy="5403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F26F79" w14:textId="77777777" w:rsidR="0069630A" w:rsidRPr="002C55A5" w:rsidRDefault="0069630A" w:rsidP="0069630A">
                          <w:pPr>
                            <w:rPr>
                              <w:sz w:val="11"/>
                              <w:szCs w:val="11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4D791C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-27pt;margin-top:-22.65pt;width:405.5pt;height:42.55pt;z-index:251659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" stroked="f">
              <v:textbox style="mso-fit-shape-to-text:t">
                <w:txbxContent>
                  <w:p w14:paraId="5BF26F79" w14:textId="77777777" w:rsidR="0069630A" w:rsidRPr="002C55A5" w:rsidRDefault="0069630A" w:rsidP="0069630A">
                    <w:pPr>
                      <w:rPr>
                        <w:sz w:val="11"/>
                        <w:szCs w:val="11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C514AE" w14:textId="77777777" w:rsidR="005B7E30" w:rsidRDefault="005B7E30">
      <w:r>
        <w:separator/>
      </w:r>
    </w:p>
  </w:footnote>
  <w:footnote w:type="continuationSeparator" w:id="0">
    <w:p w14:paraId="033264CC" w14:textId="77777777" w:rsidR="005B7E30" w:rsidRDefault="005B7E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2AE7D1" w14:textId="4C727592" w:rsidR="008F06AE" w:rsidRDefault="00E563B1" w:rsidP="008F06AE">
    <w:pPr>
      <w:pStyle w:val="Header"/>
      <w:ind w:hanging="360"/>
      <w:rPr>
        <w:szCs w:val="14"/>
      </w:rPr>
    </w:pPr>
    <w:r>
      <w:rPr>
        <w:noProof/>
        <w:szCs w:val="14"/>
      </w:rPr>
      <w:drawing>
        <wp:inline distT="0" distB="0" distL="0" distR="0" wp14:anchorId="5E153309" wp14:editId="6E53C7AB">
          <wp:extent cx="1783496" cy="416530"/>
          <wp:effectExtent l="0" t="0" r="0" b="3175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alff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140" cy="449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60FFB">
      <w:rPr>
        <w:noProof/>
        <w:sz w:val="14"/>
        <w:szCs w:val="14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4AD6BF7E" wp14:editId="4909A400">
              <wp:simplePos x="0" y="0"/>
              <wp:positionH relativeFrom="column">
                <wp:posOffset>4074160</wp:posOffset>
              </wp:positionH>
              <wp:positionV relativeFrom="paragraph">
                <wp:posOffset>-8890</wp:posOffset>
              </wp:positionV>
              <wp:extent cx="2187575" cy="490220"/>
              <wp:effectExtent l="0" t="0" r="0" b="0"/>
              <wp:wrapNone/>
              <wp:docPr id="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7575" cy="4902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719C52A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</w:rPr>
                            <w:t>Replace this with recipient's name</w:t>
                          </w:r>
                        </w:p>
                        <w:p w14:paraId="12ADC77C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Replace this with recipient's company name</w:t>
                          </w:r>
                        </w:p>
                        <w:p w14:paraId="2FCA90C0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Replace with today’s date</w:t>
                          </w:r>
                        </w:p>
                        <w:p w14:paraId="091FF224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Page </w: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begin"/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instrText xml:space="preserve"> PAGE </w:instrTex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separate"/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noProof/>
                              <w:sz w:val="14"/>
                              <w:szCs w:val="14"/>
                            </w:rPr>
                            <w:t>2</w: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end"/>
                          </w:r>
                        </w:p>
                        <w:p w14:paraId="29990122" w14:textId="77777777" w:rsidR="008F06AE" w:rsidRDefault="00541181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D6BF7E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26" type="#_x0000_t202" style="position:absolute;left:0;text-align:left;margin-left:320.8pt;margin-top:-.7pt;width:172.25pt;height:38.6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" stroked="f">
              <v:textbox>
                <w:txbxContent>
                  <w:p w14:paraId="5719C52A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</w:rPr>
                      <w:t>Replace this with recipient's name</w:t>
                    </w:r>
                  </w:p>
                  <w:p w14:paraId="12ADC77C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>Replace this with recipient's company name</w:t>
                    </w:r>
                  </w:p>
                  <w:p w14:paraId="2FCA90C0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>Replace with today’s date</w:t>
                    </w:r>
                  </w:p>
                  <w:p w14:paraId="091FF224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Page </w: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begin"/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instrText xml:space="preserve"> PAGE </w:instrTex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separate"/>
                    </w:r>
                    <w:r w:rsidRPr="00987AC5">
                      <w:rPr>
                        <w:rStyle w:val="PageNumber"/>
                        <w:rFonts w:ascii="Arial" w:hAnsi="Arial" w:cs="Arial"/>
                        <w:noProof/>
                        <w:sz w:val="14"/>
                        <w:szCs w:val="14"/>
                      </w:rPr>
                      <w:t>2</w: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end"/>
                    </w:r>
                  </w:p>
                  <w:p w14:paraId="29990122" w14:textId="77777777" w:rsidR="008F06AE" w:rsidRDefault="00541181"/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C22082" w14:textId="1A1BCEA0" w:rsidR="008F06AE" w:rsidRPr="00FD52CB" w:rsidRDefault="00E563B1" w:rsidP="008F06AE">
    <w:pPr>
      <w:pStyle w:val="Header"/>
      <w:ind w:hanging="360"/>
      <w:rPr>
        <w:szCs w:val="14"/>
      </w:rPr>
    </w:pPr>
    <w:r>
      <w:rPr>
        <w:noProof/>
        <w:szCs w:val="14"/>
      </w:rPr>
      <w:drawing>
        <wp:inline distT="0" distB="0" distL="0" distR="0" wp14:anchorId="37D28A92" wp14:editId="5B0D3255">
          <wp:extent cx="1783496" cy="416530"/>
          <wp:effectExtent l="0" t="0" r="0" b="317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alff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140" cy="449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CEE7ED2"/>
    <w:multiLevelType w:val="hybridMultilevel"/>
    <w:tmpl w:val="3CD050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10241">
      <o:colormru v:ext="edit" colors="#3a569b,#10147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0FFB"/>
    <w:rsid w:val="000B6E34"/>
    <w:rsid w:val="00151847"/>
    <w:rsid w:val="001B4EF9"/>
    <w:rsid w:val="001C0190"/>
    <w:rsid w:val="00277916"/>
    <w:rsid w:val="002C3C96"/>
    <w:rsid w:val="003C5C1D"/>
    <w:rsid w:val="003D1027"/>
    <w:rsid w:val="00486827"/>
    <w:rsid w:val="004A3820"/>
    <w:rsid w:val="004B449D"/>
    <w:rsid w:val="00526223"/>
    <w:rsid w:val="00541181"/>
    <w:rsid w:val="005B7E30"/>
    <w:rsid w:val="005D3859"/>
    <w:rsid w:val="0062272D"/>
    <w:rsid w:val="00646E55"/>
    <w:rsid w:val="0069630A"/>
    <w:rsid w:val="0072199E"/>
    <w:rsid w:val="0073470E"/>
    <w:rsid w:val="00802E27"/>
    <w:rsid w:val="00987AC5"/>
    <w:rsid w:val="00AB36AE"/>
    <w:rsid w:val="00AC2967"/>
    <w:rsid w:val="00BF4C08"/>
    <w:rsid w:val="00C44252"/>
    <w:rsid w:val="00D60FFB"/>
    <w:rsid w:val="00DA15C0"/>
    <w:rsid w:val="00DD4FAE"/>
    <w:rsid w:val="00E50997"/>
    <w:rsid w:val="00E563B1"/>
    <w:rsid w:val="00F11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>
      <o:colormru v:ext="edit" colors="#3a569b,#10147e"/>
    </o:shapedefaults>
    <o:shapelayout v:ext="edit">
      <o:idmap v:ext="edit" data="1"/>
    </o:shapelayout>
  </w:shapeDefaults>
  <w:decimalSymbol w:val="."/>
  <w:listSeparator w:val=","/>
  <w14:docId w14:val="58897FD5"/>
  <w15:chartTrackingRefBased/>
  <w15:docId w15:val="{96D9783E-E104-4AD5-8D0C-C4A47C2B20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">
    <w:name w:val="List"/>
    <w:basedOn w:val="Normal"/>
    <w:pPr>
      <w:widowControl w:val="0"/>
      <w:spacing w:after="240"/>
      <w:ind w:left="720" w:hanging="720"/>
    </w:pPr>
    <w:rPr>
      <w:rFonts w:ascii="Times Roman" w:hAnsi="Times Roman"/>
    </w:rPr>
  </w:style>
  <w:style w:type="paragraph" w:styleId="Footer">
    <w:name w:val="footer"/>
    <w:basedOn w:val="Normal"/>
    <w:pPr>
      <w:widowControl w:val="0"/>
      <w:tabs>
        <w:tab w:val="center" w:pos="4320"/>
        <w:tab w:val="right" w:pos="9360"/>
      </w:tabs>
    </w:pPr>
    <w:rPr>
      <w:rFonts w:ascii="Times Roman" w:hAnsi="Times Roman"/>
    </w:rPr>
  </w:style>
  <w:style w:type="paragraph" w:styleId="EnvelopeAddress">
    <w:name w:val="envelope address"/>
    <w:basedOn w:val="EnvelopeReturn"/>
    <w:pPr>
      <w:keepLines/>
      <w:framePr w:w="7920" w:h="1980" w:hRule="exact" w:hSpace="180" w:wrap="auto" w:hAnchor="page" w:xAlign="center" w:yAlign="bottom"/>
      <w:ind w:left="6480"/>
      <w:jc w:val="left"/>
    </w:pPr>
    <w:rPr>
      <w:rFonts w:ascii="Arial Rounded MT Bold" w:hAnsi="Arial Rounded MT Bold"/>
      <w:b/>
      <w:sz w:val="28"/>
    </w:rPr>
  </w:style>
  <w:style w:type="paragraph" w:styleId="EnvelopeReturn">
    <w:name w:val="envelope return"/>
    <w:basedOn w:val="Normal"/>
    <w:rPr>
      <w:sz w:val="20"/>
    </w:rPr>
  </w:style>
  <w:style w:type="paragraph" w:customStyle="1" w:styleId="JITEM3">
    <w:name w:val="JITEM3"/>
    <w:basedOn w:val="JITEM2"/>
    <w:pPr>
      <w:tabs>
        <w:tab w:val="left" w:pos="2160"/>
      </w:tabs>
    </w:pPr>
  </w:style>
  <w:style w:type="paragraph" w:customStyle="1" w:styleId="JITEM2">
    <w:name w:val="JITEM2"/>
    <w:basedOn w:val="Normal"/>
    <w:pPr>
      <w:tabs>
        <w:tab w:val="left" w:pos="-720"/>
        <w:tab w:val="left" w:pos="0"/>
        <w:tab w:val="left" w:pos="720"/>
        <w:tab w:val="left" w:pos="1440"/>
      </w:tabs>
      <w:suppressAutoHyphens/>
      <w:spacing w:after="120"/>
      <w:ind w:left="2880" w:hanging="720"/>
    </w:pPr>
    <w:rPr>
      <w:rFonts w:ascii="Century Schoolbook" w:hAnsi="Century Schoolbook"/>
      <w:spacing w:val="-2"/>
      <w:sz w:val="20"/>
    </w:rPr>
  </w:style>
  <w:style w:type="paragraph" w:customStyle="1" w:styleId="JHEAD1">
    <w:name w:val="JHEAD1"/>
    <w:basedOn w:val="Normal"/>
    <w:pPr>
      <w:spacing w:after="120"/>
      <w:ind w:left="720" w:hanging="720"/>
    </w:pPr>
    <w:rPr>
      <w:rFonts w:ascii="Century Schoolbook" w:hAnsi="Century Schoolbook"/>
      <w:b/>
      <w:sz w:val="20"/>
      <w:u w:val="single"/>
    </w:rPr>
  </w:style>
  <w:style w:type="paragraph" w:customStyle="1" w:styleId="JHEAD2">
    <w:name w:val="JHEAD2"/>
    <w:basedOn w:val="Normal"/>
    <w:pPr>
      <w:spacing w:after="240"/>
      <w:ind w:left="1440" w:hanging="720"/>
    </w:pPr>
    <w:rPr>
      <w:rFonts w:ascii="Century Schoolbook" w:hAnsi="Century Schoolbook"/>
      <w:sz w:val="20"/>
    </w:rPr>
  </w:style>
  <w:style w:type="paragraph" w:styleId="ListBullet">
    <w:name w:val="List Bullet"/>
    <w:basedOn w:val="Normal"/>
    <w:pPr>
      <w:ind w:left="720" w:hanging="720"/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BodyText">
    <w:name w:val="Body Text"/>
    <w:basedOn w:val="Normal"/>
    <w:link w:val="BodyTextChar"/>
    <w:uiPriority w:val="1"/>
    <w:qFormat/>
    <w:rsid w:val="00C44252"/>
    <w:pPr>
      <w:widowControl w:val="0"/>
      <w:overflowPunct/>
      <w:autoSpaceDE/>
      <w:autoSpaceDN/>
      <w:adjustRightInd/>
      <w:ind w:left="119"/>
      <w:jc w:val="left"/>
      <w:textAlignment w:val="auto"/>
    </w:pPr>
    <w:rPr>
      <w:rFonts w:ascii="Gotham-Book" w:eastAsia="Gotham-Book" w:hAnsi="Gotham-Book" w:cstheme="minorBidi"/>
      <w:sz w:val="11"/>
      <w:szCs w:val="11"/>
    </w:rPr>
  </w:style>
  <w:style w:type="character" w:customStyle="1" w:styleId="BodyTextChar">
    <w:name w:val="Body Text Char"/>
    <w:basedOn w:val="DefaultParagraphFont"/>
    <w:link w:val="BodyText"/>
    <w:uiPriority w:val="1"/>
    <w:rsid w:val="00C44252"/>
    <w:rPr>
      <w:rFonts w:ascii="Gotham-Book" w:eastAsia="Gotham-Book" w:hAnsi="Gotham-Book" w:cstheme="minorBidi"/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69630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9630A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563B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63B1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526223"/>
    <w:pPr>
      <w:ind w:left="720"/>
      <w:contextualSpacing/>
    </w:pPr>
  </w:style>
  <w:style w:type="table" w:styleId="TableGrid">
    <w:name w:val="Table Grid"/>
    <w:basedOn w:val="TableNormal"/>
    <w:uiPriority w:val="39"/>
    <w:rsid w:val="000B6E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cid:image003.png@01D7773D.79C0D530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cid:image002.png@01D7773D.79C0D530" TargetMode="External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cid:image004.png@01D7773D.79C0D53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CE2DEA-9CB5-42ED-8A9E-F8D419AF0A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</TotalTime>
  <Pages>6</Pages>
  <Words>531</Words>
  <Characters>2906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June 21, 1996</vt:lpstr>
    </vt:vector>
  </TitlesOfParts>
  <Company>HALFF ASSOCIATES, INC.</Company>
  <LinksUpToDate>false</LinksUpToDate>
  <CharactersWithSpaces>3431</CharactersWithSpaces>
  <SharedDoc>false</SharedDoc>
  <HLinks>
    <vt:vector size="18" baseType="variant">
      <vt:variant>
        <vt:i4>2031704</vt:i4>
      </vt:variant>
      <vt:variant>
        <vt:i4>1778</vt:i4>
      </vt:variant>
      <vt:variant>
        <vt:i4>1026</vt:i4>
      </vt:variant>
      <vt:variant>
        <vt:i4>1</vt:i4>
      </vt:variant>
      <vt:variant>
        <vt:lpwstr>Halff_color</vt:lpwstr>
      </vt:variant>
      <vt:variant>
        <vt:lpwstr/>
      </vt:variant>
      <vt:variant>
        <vt:i4>5636155</vt:i4>
      </vt:variant>
      <vt:variant>
        <vt:i4>1781</vt:i4>
      </vt:variant>
      <vt:variant>
        <vt:i4>1025</vt:i4>
      </vt:variant>
      <vt:variant>
        <vt:i4>1</vt:i4>
      </vt:variant>
      <vt:variant>
        <vt:lpwstr>Halff_4C</vt:lpwstr>
      </vt:variant>
      <vt:variant>
        <vt:lpwstr/>
      </vt:variant>
      <vt:variant>
        <vt:i4>6815755</vt:i4>
      </vt:variant>
      <vt:variant>
        <vt:i4>1784</vt:i4>
      </vt:variant>
      <vt:variant>
        <vt:i4>1028</vt:i4>
      </vt:variant>
      <vt:variant>
        <vt:i4>1</vt:i4>
      </vt:variant>
      <vt:variant>
        <vt:lpwstr>richardsonaddress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June 21, 1996</dc:title>
  <dc:subject/>
  <dc:creator>Hausenfluke, Jodi</dc:creator>
  <cp:keywords/>
  <dc:description/>
  <cp:lastModifiedBy>Simon, Guillermo</cp:lastModifiedBy>
  <cp:revision>9</cp:revision>
  <cp:lastPrinted>2005-01-07T16:13:00Z</cp:lastPrinted>
  <dcterms:created xsi:type="dcterms:W3CDTF">2021-06-30T13:53:00Z</dcterms:created>
  <dcterms:modified xsi:type="dcterms:W3CDTF">2021-07-22T03:11:00Z</dcterms:modified>
</cp:coreProperties>
</file>